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47" w14:textId="77777777" w:rsidR="0079355C" w:rsidRDefault="00141719">
      <w:pPr>
        <w:pStyle w:val="Titre1"/>
      </w:pPr>
      <w:bookmarkStart w:id="0" w:name="_t8xntv4qj69y" w:colFirst="0" w:colLast="0"/>
      <w:bookmarkEnd w:id="0"/>
      <w:r>
        <w:t>Fiche d’information</w:t>
      </w:r>
    </w:p>
    <w:p w14:paraId="00000048" w14:textId="77777777" w:rsidR="0079355C" w:rsidRDefault="00141719">
      <w:pPr>
        <w:spacing w:line="240" w:lineRule="auto"/>
        <w:jc w:val="right"/>
        <w:rPr>
          <w:b/>
          <w:sz w:val="24"/>
          <w:szCs w:val="24"/>
        </w:rPr>
      </w:pPr>
      <w:r>
        <w:rPr>
          <w:i/>
          <w:sz w:val="20"/>
          <w:szCs w:val="20"/>
        </w:rPr>
        <w:t>Pour diffusion immédiate</w:t>
      </w:r>
    </w:p>
    <w:p w14:paraId="00000049" w14:textId="77777777" w:rsidR="0079355C" w:rsidRDefault="0079355C">
      <w:pPr>
        <w:spacing w:line="240" w:lineRule="auto"/>
        <w:jc w:val="center"/>
        <w:rPr>
          <w:b/>
          <w:sz w:val="20"/>
          <w:szCs w:val="20"/>
        </w:rPr>
      </w:pPr>
    </w:p>
    <w:p w14:paraId="0000004A" w14:textId="77777777" w:rsidR="0079355C" w:rsidRDefault="0014171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COP25 – Quels sont les enjeux ?</w:t>
      </w:r>
    </w:p>
    <w:p w14:paraId="0000004B" w14:textId="77777777" w:rsidR="0079355C" w:rsidRDefault="0079355C">
      <w:pPr>
        <w:spacing w:line="240" w:lineRule="auto"/>
        <w:rPr>
          <w:sz w:val="20"/>
          <w:szCs w:val="20"/>
        </w:rPr>
      </w:pPr>
    </w:p>
    <w:p w14:paraId="0000004C" w14:textId="77777777" w:rsidR="0079355C" w:rsidRDefault="001417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Cette COP25 devait aborder quelques questions fondamentales :</w:t>
      </w:r>
    </w:p>
    <w:p w14:paraId="0000004D" w14:textId="77777777" w:rsidR="0079355C" w:rsidRDefault="0079355C">
      <w:pPr>
        <w:spacing w:line="240" w:lineRule="auto"/>
        <w:rPr>
          <w:sz w:val="20"/>
          <w:szCs w:val="20"/>
        </w:rPr>
      </w:pPr>
    </w:p>
    <w:p w14:paraId="0000004E" w14:textId="5406E97A" w:rsidR="0079355C" w:rsidRDefault="00141719">
      <w:pPr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Mise en </w:t>
      </w:r>
      <w:r w:rsidR="0098253A">
        <w:rPr>
          <w:sz w:val="20"/>
          <w:szCs w:val="20"/>
        </w:rPr>
        <w:t xml:space="preserve">œuvre </w:t>
      </w:r>
      <w:bookmarkStart w:id="1" w:name="_GoBack"/>
      <w:bookmarkEnd w:id="1"/>
      <w:r>
        <w:rPr>
          <w:sz w:val="20"/>
          <w:szCs w:val="20"/>
        </w:rPr>
        <w:t xml:space="preserve">d’un mécanisme financier international pour faire face aux </w:t>
      </w:r>
      <w:r>
        <w:rPr>
          <w:b/>
          <w:sz w:val="20"/>
          <w:szCs w:val="20"/>
        </w:rPr>
        <w:t>pertes et dommages</w:t>
      </w:r>
      <w:r>
        <w:rPr>
          <w:sz w:val="20"/>
          <w:szCs w:val="20"/>
        </w:rPr>
        <w:t xml:space="preserve"> liés aux changements climatiques (aussi appelé </w:t>
      </w:r>
      <w:r>
        <w:rPr>
          <w:i/>
          <w:sz w:val="20"/>
          <w:szCs w:val="20"/>
        </w:rPr>
        <w:t>Mécanisme international de Varsovie</w:t>
      </w:r>
      <w:r>
        <w:rPr>
          <w:sz w:val="20"/>
          <w:szCs w:val="20"/>
        </w:rPr>
        <w:t>)</w:t>
      </w:r>
    </w:p>
    <w:p w14:paraId="0000004F" w14:textId="77777777" w:rsidR="0079355C" w:rsidRDefault="00141719">
      <w:pPr>
        <w:numPr>
          <w:ilvl w:val="1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Création d’une nouvelle instance d’</w:t>
      </w:r>
      <w:proofErr w:type="spellStart"/>
      <w:r>
        <w:rPr>
          <w:sz w:val="20"/>
          <w:szCs w:val="20"/>
        </w:rPr>
        <w:t>expert·e·s</w:t>
      </w:r>
      <w:proofErr w:type="spellEnd"/>
      <w:r>
        <w:rPr>
          <w:sz w:val="20"/>
          <w:szCs w:val="20"/>
        </w:rPr>
        <w:t xml:space="preserve"> pour </w:t>
      </w:r>
      <w:r>
        <w:rPr>
          <w:b/>
          <w:sz w:val="20"/>
          <w:szCs w:val="20"/>
        </w:rPr>
        <w:t>l’évaluation de mécanismes de financement des pertes et dommages</w:t>
      </w:r>
    </w:p>
    <w:p w14:paraId="00000050" w14:textId="77777777" w:rsidR="0079355C" w:rsidRDefault="0079355C">
      <w:pPr>
        <w:spacing w:line="240" w:lineRule="auto"/>
        <w:rPr>
          <w:sz w:val="20"/>
          <w:szCs w:val="20"/>
        </w:rPr>
      </w:pPr>
    </w:p>
    <w:p w14:paraId="00000051" w14:textId="77777777" w:rsidR="0079355C" w:rsidRDefault="00141719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Mécanismes de financement pour la transition et l’adaptation</w:t>
      </w:r>
      <w:r>
        <w:rPr>
          <w:sz w:val="20"/>
          <w:szCs w:val="20"/>
        </w:rPr>
        <w:t xml:space="preserve"> des pays en voie de développement (objectif de 100 milliards de dollars d'ici 2020 : selon différentes projections, le financement public fourni n'atteindra pas 100 milliards de dollars d'ici 2020)</w:t>
      </w:r>
    </w:p>
    <w:p w14:paraId="00000052" w14:textId="77777777" w:rsidR="0079355C" w:rsidRDefault="00141719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Les pays développés doivent reconnaître le déficit de financement et expliquer comment (et de combien) ils augmenteront leurs contributions pour la lutte contre les changements climatiques, en particulier pour l'adaptation.</w:t>
      </w:r>
    </w:p>
    <w:p w14:paraId="00000053" w14:textId="77777777" w:rsidR="0079355C" w:rsidRDefault="00141719">
      <w:pPr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Les parties préparent un processus clair pour convenir d'un nouvel objectif financier.</w:t>
      </w:r>
    </w:p>
    <w:p w14:paraId="00000054" w14:textId="77777777" w:rsidR="0079355C" w:rsidRDefault="0079355C">
      <w:pPr>
        <w:spacing w:line="240" w:lineRule="auto"/>
        <w:rPr>
          <w:sz w:val="20"/>
          <w:szCs w:val="20"/>
        </w:rPr>
      </w:pPr>
    </w:p>
    <w:p w14:paraId="00000055" w14:textId="77777777" w:rsidR="0079355C" w:rsidRDefault="00141719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Transfert de technologies propres</w:t>
      </w:r>
      <w:r>
        <w:rPr>
          <w:sz w:val="20"/>
          <w:szCs w:val="20"/>
        </w:rPr>
        <w:t xml:space="preserve"> des pays riches aux pays en voie de développement.</w:t>
      </w:r>
    </w:p>
    <w:p w14:paraId="00000056" w14:textId="77777777" w:rsidR="0079355C" w:rsidRDefault="0079355C">
      <w:pPr>
        <w:spacing w:line="240" w:lineRule="auto"/>
        <w:rPr>
          <w:sz w:val="20"/>
          <w:szCs w:val="20"/>
        </w:rPr>
      </w:pPr>
    </w:p>
    <w:p w14:paraId="00000057" w14:textId="77777777" w:rsidR="0079355C" w:rsidRDefault="001417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Et le plus important :</w:t>
      </w:r>
    </w:p>
    <w:p w14:paraId="00000058" w14:textId="77777777" w:rsidR="0079355C" w:rsidRDefault="0079355C">
      <w:pPr>
        <w:spacing w:line="240" w:lineRule="auto"/>
        <w:rPr>
          <w:sz w:val="20"/>
          <w:szCs w:val="20"/>
        </w:rPr>
      </w:pPr>
    </w:p>
    <w:p w14:paraId="00000059" w14:textId="77777777" w:rsidR="0079355C" w:rsidRDefault="00141719">
      <w:pPr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Article 6 de l’Accord de Paris. </w:t>
      </w:r>
      <w:r>
        <w:rPr>
          <w:sz w:val="20"/>
          <w:szCs w:val="20"/>
        </w:rPr>
        <w:t>Plusieurs pays et parties prenantes veulent que le système d’échange et comptabilisation des droits d’émission entre pays ne déraille pas :</w:t>
      </w:r>
    </w:p>
    <w:p w14:paraId="0000005A" w14:textId="77777777" w:rsidR="0079355C" w:rsidRDefault="00141719">
      <w:pPr>
        <w:numPr>
          <w:ilvl w:val="1"/>
          <w:numId w:val="1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Aller au-delà d'un jeu à somme nulle : </w:t>
      </w:r>
      <w:r>
        <w:rPr>
          <w:sz w:val="20"/>
          <w:szCs w:val="20"/>
        </w:rPr>
        <w:t>viser une réduction réelle des émissions à l’échelle planétaire. L’utilisation de l’Article 6 ne devrait pas réduire l’ambition domestique des pays qui décident de faire le commerce du carbone.</w:t>
      </w:r>
    </w:p>
    <w:p w14:paraId="0000005B" w14:textId="77777777" w:rsidR="0079355C" w:rsidRDefault="00141719">
      <w:pPr>
        <w:numPr>
          <w:ilvl w:val="1"/>
          <w:numId w:val="1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Pas de double comptabilisation des émissions </w:t>
      </w:r>
      <w:r>
        <w:rPr>
          <w:sz w:val="20"/>
          <w:szCs w:val="20"/>
        </w:rPr>
        <w:t>(dans le contexte de l'atténuation des changements climatiques, le double comptage est largement utilisé pour décrire les situations où une seule réduction ou élimination des émissions de gaz à effet de serre est utilisée plus d'une fois pour démontrer la conformité aux objectifs d'atténuation) ;</w:t>
      </w:r>
    </w:p>
    <w:p w14:paraId="0000005C" w14:textId="77777777" w:rsidR="0079355C" w:rsidRDefault="00141719">
      <w:pPr>
        <w:numPr>
          <w:ilvl w:val="1"/>
          <w:numId w:val="1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Aucun transfert de crédits de Kyoto </w:t>
      </w:r>
      <w:r>
        <w:rPr>
          <w:sz w:val="20"/>
          <w:szCs w:val="20"/>
        </w:rPr>
        <w:t>(offre potentielle disponible d'ici 2020 : 4 milliards de crédits (4GtCO2éq.) ;</w:t>
      </w:r>
    </w:p>
    <w:p w14:paraId="0000005D" w14:textId="77777777" w:rsidR="0079355C" w:rsidRDefault="00141719">
      <w:pPr>
        <w:numPr>
          <w:ilvl w:val="1"/>
          <w:numId w:val="1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Garanties sociales et environnementales </w:t>
      </w:r>
      <w:r>
        <w:rPr>
          <w:sz w:val="20"/>
          <w:szCs w:val="20"/>
        </w:rPr>
        <w:t>que les réductions ne se feront pas aux frais des populations vulnérables, et respectent les droits humains et les droits des peuples autochtones.</w:t>
      </w:r>
    </w:p>
    <w:p w14:paraId="0000005E" w14:textId="77777777" w:rsidR="0079355C" w:rsidRDefault="0079355C">
      <w:pPr>
        <w:spacing w:line="240" w:lineRule="auto"/>
        <w:rPr>
          <w:b/>
          <w:sz w:val="20"/>
          <w:szCs w:val="20"/>
        </w:rPr>
      </w:pPr>
    </w:p>
    <w:p w14:paraId="0000005F" w14:textId="77777777" w:rsidR="0079355C" w:rsidRDefault="0014171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 rôle du Canada</w:t>
      </w:r>
    </w:p>
    <w:p w14:paraId="00000060" w14:textId="77777777" w:rsidR="0079355C" w:rsidRDefault="0079355C">
      <w:pPr>
        <w:spacing w:line="240" w:lineRule="auto"/>
        <w:rPr>
          <w:b/>
          <w:sz w:val="20"/>
          <w:szCs w:val="20"/>
        </w:rPr>
      </w:pPr>
    </w:p>
    <w:p w14:paraId="00000061" w14:textId="77777777" w:rsidR="0079355C" w:rsidRDefault="00141719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 Canada, il y a une dynamique en faveur d’actions ambitieuses en matière de climat – dans la rue, devant les tribunaux, dans les municipalités - et la COP25 était une occasion pour le nouveau gouvernement fédéral de démontrer son ambition climatique et de répondre à ses engagements électoraux.</w:t>
      </w:r>
    </w:p>
    <w:p w14:paraId="000000DB" w14:textId="40E06B48" w:rsidR="0079355C" w:rsidRPr="006D7211" w:rsidRDefault="00141719" w:rsidP="006D7211">
      <w:pPr>
        <w:numPr>
          <w:ilvl w:val="0"/>
          <w:numId w:val="1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L'action climatique est une question de justice intergénérationnelle. Les pays qui n'agissent pas de manière décisive lors de la COP25 privent les jeunes générations de leur droit à un avenir digne et viable.</w:t>
      </w:r>
      <w:bookmarkStart w:id="2" w:name="_yt1crwygubdb" w:colFirst="0" w:colLast="0"/>
      <w:bookmarkEnd w:id="2"/>
    </w:p>
    <w:sectPr w:rsidR="0079355C" w:rsidRPr="006D7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FF443" w14:textId="77777777" w:rsidR="00EC594F" w:rsidRDefault="00EC594F" w:rsidP="006D7211">
      <w:pPr>
        <w:spacing w:line="240" w:lineRule="auto"/>
      </w:pPr>
      <w:r>
        <w:separator/>
      </w:r>
    </w:p>
  </w:endnote>
  <w:endnote w:type="continuationSeparator" w:id="0">
    <w:p w14:paraId="1B0CE447" w14:textId="77777777" w:rsidR="00EC594F" w:rsidRDefault="00EC594F" w:rsidP="006D7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FC7B" w14:textId="77777777" w:rsidR="006D7211" w:rsidRDefault="006D72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81A2" w14:textId="77777777" w:rsidR="006D7211" w:rsidRDefault="006D72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11E6" w14:textId="77777777" w:rsidR="006D7211" w:rsidRDefault="006D72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DF16" w14:textId="77777777" w:rsidR="00EC594F" w:rsidRDefault="00EC594F" w:rsidP="006D7211">
      <w:pPr>
        <w:spacing w:line="240" w:lineRule="auto"/>
      </w:pPr>
      <w:r>
        <w:separator/>
      </w:r>
    </w:p>
  </w:footnote>
  <w:footnote w:type="continuationSeparator" w:id="0">
    <w:p w14:paraId="710CEF1F" w14:textId="77777777" w:rsidR="00EC594F" w:rsidRDefault="00EC594F" w:rsidP="006D7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861C" w14:textId="77777777" w:rsidR="006D7211" w:rsidRDefault="006D72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D3B8" w14:textId="77777777" w:rsidR="006D7211" w:rsidRDefault="006D72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ADB8" w14:textId="77777777" w:rsidR="006D7211" w:rsidRDefault="006D72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85B"/>
    <w:multiLevelType w:val="multilevel"/>
    <w:tmpl w:val="C2666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0B0FFC"/>
    <w:multiLevelType w:val="multilevel"/>
    <w:tmpl w:val="D91A5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6290F"/>
    <w:multiLevelType w:val="multilevel"/>
    <w:tmpl w:val="A8AE9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F6260"/>
    <w:multiLevelType w:val="multilevel"/>
    <w:tmpl w:val="73A60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43AB3"/>
    <w:multiLevelType w:val="multilevel"/>
    <w:tmpl w:val="339EB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D877F6"/>
    <w:multiLevelType w:val="multilevel"/>
    <w:tmpl w:val="F4285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B87456"/>
    <w:multiLevelType w:val="multilevel"/>
    <w:tmpl w:val="95DEC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400A40"/>
    <w:multiLevelType w:val="multilevel"/>
    <w:tmpl w:val="D2D00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0D20D1"/>
    <w:multiLevelType w:val="multilevel"/>
    <w:tmpl w:val="6D48E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F755BA"/>
    <w:multiLevelType w:val="multilevel"/>
    <w:tmpl w:val="EC12F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770A7F"/>
    <w:multiLevelType w:val="multilevel"/>
    <w:tmpl w:val="B41E8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BA1026"/>
    <w:multiLevelType w:val="multilevel"/>
    <w:tmpl w:val="57F26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5C"/>
    <w:rsid w:val="000446E3"/>
    <w:rsid w:val="00141719"/>
    <w:rsid w:val="006D7211"/>
    <w:rsid w:val="0079355C"/>
    <w:rsid w:val="0098253A"/>
    <w:rsid w:val="00E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1AF59"/>
  <w15:docId w15:val="{0A33069B-23BF-8F4B-B208-B29E248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line="240" w:lineRule="auto"/>
      <w:jc w:val="right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6D721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211"/>
  </w:style>
  <w:style w:type="paragraph" w:styleId="Pieddepage">
    <w:name w:val="footer"/>
    <w:basedOn w:val="Normal"/>
    <w:link w:val="PieddepageCar"/>
    <w:uiPriority w:val="99"/>
    <w:unhideWhenUsed/>
    <w:rsid w:val="006D721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Gauthier</cp:lastModifiedBy>
  <cp:revision>3</cp:revision>
  <dcterms:created xsi:type="dcterms:W3CDTF">2019-12-15T00:15:00Z</dcterms:created>
  <dcterms:modified xsi:type="dcterms:W3CDTF">2019-12-15T00:16:00Z</dcterms:modified>
</cp:coreProperties>
</file>